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iCs/>
          <w:sz w:val="32"/>
          <w:szCs w:val="32"/>
          <w:lang w:val="en-US" w:eastAsia="zh-CN"/>
        </w:rPr>
      </w:pPr>
      <w:bookmarkStart w:id="0" w:name="OLE_LINK6"/>
      <w:bookmarkStart w:id="1" w:name="OLE_LINK5"/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>SG-RAN WG4 Meeting #92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bis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               </w:t>
      </w:r>
      <w:r>
        <w:rPr>
          <w:rFonts w:ascii="Arial" w:hAnsi="Arial" w:eastAsia="宋体" w:cs="Times New Roman"/>
          <w:b/>
          <w:bCs/>
          <w:sz w:val="24"/>
          <w:szCs w:val="20"/>
          <w:lang w:val="en-GB"/>
        </w:rPr>
        <w:tab/>
      </w:r>
      <w:r>
        <w:rPr>
          <w:rFonts w:ascii="Arial" w:hAnsi="Arial" w:eastAsia="宋体" w:cs="Times New Roman"/>
          <w:b/>
          <w:bCs/>
          <w:sz w:val="24"/>
          <w:szCs w:val="24"/>
          <w:lang w:val="en-GB" w:eastAsia="ja-JP"/>
        </w:rPr>
        <w:t>R4-</w:t>
      </w:r>
      <w:r>
        <w:rPr>
          <w:rFonts w:ascii="Arial" w:hAnsi="Arial" w:eastAsia="宋体" w:cs="Times New Roman"/>
          <w:b/>
          <w:bCs/>
          <w:sz w:val="24"/>
          <w:szCs w:val="24"/>
          <w:lang w:val="en-GB" w:eastAsia="zh-CN"/>
        </w:rPr>
        <w:t>19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 w:eastAsia="zh-CN"/>
        </w:rPr>
        <w:t>1107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3</w:t>
      </w:r>
      <w:bookmarkStart w:id="6" w:name="_GoBack"/>
      <w:bookmarkEnd w:id="6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Chongqing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China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October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– 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18</w:t>
      </w:r>
      <w:r>
        <w:rPr>
          <w:rFonts w:ascii="Arial" w:hAnsi="Arial" w:eastAsia="宋体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eastAsia="宋体" w:cs="Times New Roman"/>
          <w:b/>
          <w:bCs/>
          <w:sz w:val="24"/>
          <w:szCs w:val="24"/>
          <w:lang w:eastAsia="zh-CN"/>
        </w:rPr>
        <w:t>2019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3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Discussion on scenario names in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3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8.1.4</w:t>
      </w:r>
    </w:p>
    <w:p>
      <w:pPr>
        <w:tabs>
          <w:tab w:val="left" w:pos="1985"/>
        </w:tabs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 and Decision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28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jc w:val="both"/>
        <w:rPr>
          <w:szCs w:val="20"/>
        </w:rPr>
      </w:pPr>
      <w:r>
        <w:rPr>
          <w:rFonts w:hint="eastAsia" w:eastAsia="宋体" w:cs="Times New Roman"/>
          <w:szCs w:val="20"/>
          <w:lang w:val="en-US" w:eastAsia="zh-CN"/>
        </w:rPr>
        <w:t xml:space="preserve">The NR-based access to unlicensed spectrum is summarized in TR-38.889 </w:t>
      </w:r>
      <w:r>
        <w:rPr>
          <w:rFonts w:hint="default" w:eastAsia="宋体" w:cs="Times New Roman"/>
          <w:szCs w:val="20"/>
          <w:lang w:val="en-US" w:eastAsia="zh-CN"/>
        </w:rPr>
        <w:t>“</w:t>
      </w:r>
      <w:r>
        <w:rPr>
          <w:rFonts w:eastAsia="Calibri" w:cs="Times New Roman"/>
          <w:szCs w:val="20"/>
          <w:lang w:val="en-GB"/>
        </w:rPr>
        <w:t>Study on NR-based Access to Unlicensed Spectrum</w:t>
      </w:r>
      <w:r>
        <w:rPr>
          <w:rFonts w:hint="default" w:eastAsia="宋体" w:cs="Times New Roman"/>
          <w:szCs w:val="20"/>
          <w:lang w:val="en-US" w:eastAsia="zh-CN"/>
        </w:rPr>
        <w:t>”</w:t>
      </w:r>
      <w:r>
        <w:rPr>
          <w:rFonts w:hint="eastAsia" w:eastAsia="宋体" w:cs="Times New Roman"/>
          <w:szCs w:val="20"/>
          <w:lang w:val="en-US" w:eastAsia="zh-CN"/>
        </w:rPr>
        <w:t xml:space="preserve"> [1], in which f</w:t>
      </w:r>
      <w:r>
        <w:t>ive deployment scenarios have been identified: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>
        <w:rPr>
          <w:bCs/>
          <w:szCs w:val="20"/>
        </w:rPr>
        <w:t xml:space="preserve">Scenario A: Carrier aggregation between licensed band NR (PCell) and NR-U (SCell) </w:t>
      </w:r>
    </w:p>
    <w:p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>
        <w:rPr>
          <w:bCs/>
          <w:szCs w:val="20"/>
        </w:rPr>
        <w:t>NR-U SCell may have both DL and UL, or DL-only.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>
        <w:rPr>
          <w:bCs/>
          <w:szCs w:val="20"/>
        </w:rPr>
        <w:t>Scenario B: Dual connectivity between licensed band LTE (PCell) and NR-U (PSCell)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>
        <w:rPr>
          <w:bCs/>
          <w:szCs w:val="20"/>
        </w:rPr>
        <w:t>Scenario C: Stand-alone NR-U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bCs/>
          <w:szCs w:val="20"/>
        </w:rPr>
      </w:pPr>
      <w:r>
        <w:rPr>
          <w:bCs/>
          <w:szCs w:val="20"/>
        </w:rPr>
        <w:t>Scenario D: A stand-alone NR cell in unlicensed band and UL in 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0"/>
          <w:lang w:eastAsia="zh-CN"/>
        </w:rPr>
      </w:pPr>
      <w:r>
        <w:rPr>
          <w:bCs/>
          <w:szCs w:val="20"/>
        </w:rPr>
        <w:t xml:space="preserve">Scenario E: Dual connectivity between licensed band NR and NR-U. 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360" w:leftChars="0"/>
        <w:jc w:val="both"/>
        <w:rPr>
          <w:szCs w:val="20"/>
          <w:lang w:eastAsia="zh-CN"/>
        </w:rPr>
      </w:pPr>
    </w:p>
    <w:p>
      <w:pPr>
        <w:jc w:val="both"/>
        <w:rPr>
          <w:rFonts w:hint="eastAsia" w:eastAsia="宋体"/>
          <w:lang w:val="en-US" w:eastAsia="zh-CN"/>
        </w:rPr>
      </w:pPr>
      <w:r>
        <w:rPr>
          <w:rFonts w:eastAsia="Calibri" w:cs="Times New Roman"/>
          <w:szCs w:val="20"/>
        </w:rPr>
        <w:t xml:space="preserve">In this document, we discuss the </w:t>
      </w:r>
      <w:r>
        <w:rPr>
          <w:rFonts w:hint="eastAsia" w:eastAsia="宋体" w:cs="Times New Roman"/>
          <w:szCs w:val="20"/>
          <w:lang w:val="en-US" w:eastAsia="zh-CN"/>
        </w:rPr>
        <w:t xml:space="preserve">formal naming of these five scenarios in </w:t>
      </w:r>
      <w:r>
        <w:rPr>
          <w:rFonts w:eastAsia="Calibri" w:cs="Times New Roman"/>
          <w:szCs w:val="20"/>
        </w:rPr>
        <w:t>NR-U</w:t>
      </w:r>
      <w:r>
        <w:rPr>
          <w:rFonts w:hint="eastAsia" w:eastAsia="宋体" w:cs="Times New Roman"/>
          <w:szCs w:val="20"/>
          <w:lang w:val="en-US" w:eastAsia="zh-CN"/>
        </w:rPr>
        <w:t>.</w:t>
      </w:r>
    </w:p>
    <w:p>
      <w:pPr>
        <w:pStyle w:val="25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Scenario names for NR-U</w:t>
      </w:r>
    </w:p>
    <w:p>
      <w:pPr>
        <w:jc w:val="both"/>
        <w:rPr>
          <w:rFonts w:hint="eastAsia" w:eastAsia="宋体"/>
          <w:szCs w:val="20"/>
          <w:lang w:val="en-US" w:eastAsia="zh-CN"/>
        </w:rPr>
      </w:pPr>
      <w:r>
        <w:rPr>
          <w:szCs w:val="20"/>
        </w:rPr>
        <w:t>In RAN4 #</w:t>
      </w:r>
      <w:r>
        <w:rPr>
          <w:rFonts w:hint="eastAsia" w:eastAsia="宋体"/>
          <w:szCs w:val="20"/>
          <w:lang w:val="en-US" w:eastAsia="zh-CN"/>
        </w:rPr>
        <w:t>92</w:t>
      </w:r>
      <w:r>
        <w:rPr>
          <w:szCs w:val="20"/>
        </w:rPr>
        <w:t>, the terminology</w:t>
      </w:r>
      <w:r>
        <w:rPr>
          <w:rFonts w:hint="eastAsia" w:eastAsia="宋体"/>
          <w:szCs w:val="20"/>
          <w:lang w:val="en-US" w:eastAsia="zh-CN"/>
        </w:rPr>
        <w:t xml:space="preserve"> for NR-U </w:t>
      </w:r>
      <w:r>
        <w:rPr>
          <w:szCs w:val="20"/>
        </w:rPr>
        <w:t>in the RRM specifications w</w:t>
      </w:r>
      <w:r>
        <w:rPr>
          <w:rFonts w:hint="eastAsia" w:eastAsia="宋体"/>
          <w:szCs w:val="20"/>
          <w:lang w:val="en-US" w:eastAsia="zh-CN"/>
        </w:rPr>
        <w:t>as</w:t>
      </w:r>
      <w:r>
        <w:rPr>
          <w:szCs w:val="20"/>
        </w:rPr>
        <w:t xml:space="preserve"> discussed. </w:t>
      </w:r>
      <w:r>
        <w:rPr>
          <w:rFonts w:hint="eastAsia" w:eastAsia="宋体"/>
          <w:szCs w:val="20"/>
          <w:lang w:val="en-US" w:eastAsia="zh-CN"/>
        </w:rPr>
        <w:t xml:space="preserve">Companies held the view that the names should be both accurate and future proof. It was also agreed in [2] that formal scenario names for Scenario A-E should be discussed and decided. Some suggestions were proposed in </w:t>
      </w:r>
      <w:r>
        <w:rPr>
          <w:rFonts w:hint="eastAsia" w:eastAsia="宋体"/>
          <w:szCs w:val="20"/>
          <w:lang w:val="en-US" w:eastAsia="zh-CN"/>
        </w:rPr>
        <w:fldChar w:fldCharType="begin"/>
      </w:r>
      <w:r>
        <w:rPr>
          <w:rFonts w:hint="eastAsia" w:eastAsia="宋体"/>
          <w:szCs w:val="20"/>
          <w:lang w:val="en-US" w:eastAsia="zh-CN"/>
        </w:rPr>
        <w:instrText xml:space="preserve"> REF _Ref431017336 \r \h  \* MERGEFORMAT </w:instrText>
      </w:r>
      <w:r>
        <w:rPr>
          <w:rFonts w:hint="eastAsia" w:eastAsia="宋体"/>
          <w:szCs w:val="20"/>
          <w:lang w:val="en-US" w:eastAsia="zh-CN"/>
        </w:rPr>
        <w:fldChar w:fldCharType="separate"/>
      </w:r>
      <w:r>
        <w:rPr>
          <w:rFonts w:hint="eastAsia" w:eastAsia="宋体"/>
          <w:szCs w:val="20"/>
          <w:lang w:val="en-US" w:eastAsia="zh-CN"/>
        </w:rPr>
        <w:t>[3]</w:t>
      </w:r>
      <w:r>
        <w:rPr>
          <w:rFonts w:hint="eastAsia" w:eastAsia="宋体"/>
          <w:szCs w:val="20"/>
          <w:lang w:val="en-US" w:eastAsia="zh-CN"/>
        </w:rPr>
        <w:fldChar w:fldCharType="end"/>
      </w:r>
      <w:r>
        <w:rPr>
          <w:rFonts w:hint="eastAsia" w:eastAsia="宋体"/>
          <w:szCs w:val="20"/>
          <w:lang w:val="en-US" w:eastAsia="zh-CN"/>
        </w:rPr>
        <w:t xml:space="preserve"> and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_Ref7010562 \r \h </w:instrText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</w:t>
      </w:r>
      <w:r>
        <w:rPr>
          <w:rFonts w:hint="eastAsia" w:eastAsia="宋体" w:cs="Times New Roman"/>
          <w:szCs w:val="20"/>
          <w:lang w:val="en-US" w:eastAsia="zh-CN"/>
        </w:rPr>
        <w:t>4</w:t>
      </w:r>
      <w:r>
        <w:rPr>
          <w:rFonts w:eastAsia="Calibri" w:cs="Times New Roman"/>
          <w:szCs w:val="20"/>
        </w:rPr>
        <w:t>]</w:t>
      </w:r>
      <w:r>
        <w:rPr>
          <w:rFonts w:eastAsia="Calibri" w:cs="Times New Roman"/>
          <w:szCs w:val="20"/>
        </w:rPr>
        <w:fldChar w:fldCharType="end"/>
      </w:r>
      <w:r>
        <w:rPr>
          <w:rFonts w:hint="eastAsia" w:eastAsia="宋体"/>
          <w:szCs w:val="20"/>
          <w:lang w:val="en-US" w:eastAsia="zh-CN"/>
        </w:rPr>
        <w:t>.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For Scenario B and E where dual connectivity is involved, the description should be more accurate. For Scenario B, which is the case of dual connectivity between LTE and NR-U, it</w:t>
      </w:r>
      <w:r>
        <w:rPr>
          <w:rFonts w:hint="default" w:eastAsia="宋体"/>
          <w:szCs w:val="20"/>
          <w:lang w:val="en-US" w:eastAsia="zh-CN"/>
        </w:rPr>
        <w:t>’</w:t>
      </w:r>
      <w:r>
        <w:rPr>
          <w:rFonts w:hint="eastAsia" w:eastAsia="宋体"/>
          <w:szCs w:val="20"/>
          <w:lang w:val="en-US" w:eastAsia="zh-CN"/>
        </w:rPr>
        <w:t xml:space="preserve">s defined </w:t>
      </w:r>
      <w:r>
        <w:t>in clause 4.1.2 of TS 37.340 [</w:t>
      </w:r>
      <w:r>
        <w:rPr>
          <w:rFonts w:hint="eastAsia" w:eastAsia="宋体"/>
          <w:lang w:val="en-US" w:eastAsia="zh-CN"/>
        </w:rPr>
        <w:t>5</w:t>
      </w:r>
      <w:r>
        <w:t>]</w:t>
      </w:r>
      <w:r>
        <w:rPr>
          <w:rFonts w:hint="eastAsia" w:eastAsia="宋体"/>
          <w:lang w:val="en-US" w:eastAsia="zh-CN"/>
        </w:rPr>
        <w:t xml:space="preserve"> that under such cases </w:t>
      </w:r>
      <w:r>
        <w:t xml:space="preserve">a UE is connected to one eNB that acts as a </w:t>
      </w:r>
      <w:r>
        <w:rPr>
          <w:rFonts w:hint="eastAsia" w:eastAsia="宋体"/>
          <w:lang w:val="en-US" w:eastAsia="zh-CN"/>
        </w:rPr>
        <w:t>master node</w:t>
      </w:r>
      <w:r>
        <w:t xml:space="preserve"> and one en-gNB that acts as a </w:t>
      </w:r>
      <w:r>
        <w:rPr>
          <w:rFonts w:hint="eastAsia" w:eastAsia="宋体"/>
          <w:lang w:val="en-US" w:eastAsia="zh-CN"/>
        </w:rPr>
        <w:t xml:space="preserve">secondary node. The similar is with Scenario E, where a UE is connected to master gNB in licensed band and a secondary gNB in unlicensed band. However in </w:t>
      </w:r>
      <w:r>
        <w:rPr>
          <w:rFonts w:hint="eastAsia" w:eastAsia="宋体" w:cs="Times New Roman"/>
          <w:szCs w:val="20"/>
          <w:lang w:val="en-US" w:eastAsia="zh-CN"/>
        </w:rPr>
        <w:t>TR-38.889,</w:t>
      </w:r>
      <w:r>
        <w:rPr>
          <w:rFonts w:hint="eastAsia" w:eastAsia="宋体"/>
          <w:lang w:val="en-US" w:eastAsia="zh-CN"/>
        </w:rPr>
        <w:t xml:space="preserve"> Scenario B and E are referred to as dual connectivity between PCell and SCell. The description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bCs/>
          <w:szCs w:val="20"/>
          <w:lang w:val="en-US" w:eastAsia="zh-CN"/>
        </w:rPr>
        <w:t>d</w:t>
      </w:r>
      <w:r>
        <w:rPr>
          <w:bCs/>
          <w:szCs w:val="20"/>
        </w:rPr>
        <w:t>ual connectivity between licensed band LTE (PCell) and NR-U (PSCell)</w:t>
      </w:r>
      <w:r>
        <w:rPr>
          <w:rFonts w:hint="default" w:eastAsia="宋体"/>
          <w:bCs/>
          <w:szCs w:val="20"/>
          <w:lang w:val="en-US" w:eastAsia="zh-CN"/>
        </w:rPr>
        <w:t>”</w:t>
      </w:r>
      <w:r>
        <w:rPr>
          <w:rFonts w:hint="eastAsia" w:eastAsia="宋体"/>
          <w:bCs/>
          <w:szCs w:val="20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is subject to misinterpretation</w:t>
      </w:r>
      <w:r>
        <w:rPr>
          <w:rFonts w:hint="eastAsia" w:eastAsia="宋体"/>
          <w:bCs/>
          <w:szCs w:val="20"/>
          <w:lang w:val="en-US" w:eastAsia="zh-CN"/>
        </w:rPr>
        <w:t xml:space="preserve"> that it</w:t>
      </w:r>
      <w:r>
        <w:rPr>
          <w:rFonts w:hint="default" w:eastAsia="宋体"/>
          <w:bCs/>
          <w:szCs w:val="20"/>
          <w:lang w:val="en-US" w:eastAsia="zh-CN"/>
        </w:rPr>
        <w:t>’</w:t>
      </w:r>
      <w:r>
        <w:rPr>
          <w:rFonts w:hint="eastAsia" w:eastAsia="宋体"/>
          <w:bCs/>
          <w:szCs w:val="20"/>
          <w:lang w:val="en-US" w:eastAsia="zh-CN"/>
        </w:rPr>
        <w:t>s possible for the UE to connect to LTE SCell(s) in unlicensed band using LTE-LAA.</w:t>
      </w:r>
    </w:p>
    <w:p>
      <w:pPr>
        <w:pStyle w:val="37"/>
        <w:rPr>
          <w:rFonts w:hint="default" w:eastAsia="宋体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 xml:space="preserve">The description on Scenario B and E in </w:t>
      </w:r>
      <w:r>
        <w:rPr>
          <w:rFonts w:hint="eastAsia" w:eastAsia="宋体" w:cs="Times New Roman"/>
          <w:szCs w:val="20"/>
          <w:lang w:val="en-US" w:eastAsia="zh-CN"/>
        </w:rPr>
        <w:t>TR-38.889 [1]</w:t>
      </w:r>
      <w:r>
        <w:rPr>
          <w:rFonts w:hint="eastAsia" w:eastAsia="宋体"/>
          <w:sz w:val="20"/>
          <w:lang w:val="en-US" w:eastAsia="zh-CN"/>
        </w:rPr>
        <w:t xml:space="preserve"> is not aligned with the definition of dual connectivity in </w:t>
      </w:r>
      <w:r>
        <w:t>TS 37.340 [</w:t>
      </w:r>
      <w:r>
        <w:rPr>
          <w:rFonts w:hint="eastAsia" w:eastAsia="宋体"/>
          <w:lang w:val="en-US" w:eastAsia="zh-CN"/>
        </w:rPr>
        <w:t>5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pPr>
        <w:jc w:val="both"/>
        <w:rPr>
          <w:sz w:val="20"/>
          <w:szCs w:val="20"/>
          <w:lang w:eastAsia="zh-CN"/>
        </w:rPr>
      </w:pPr>
      <w:r>
        <w:rPr>
          <w:rFonts w:hint="eastAsia" w:eastAsia="宋体"/>
          <w:lang w:val="en-US" w:eastAsia="zh-CN"/>
        </w:rPr>
        <w:t>To align the formal naming with existing TS,</w:t>
      </w:r>
      <w:r>
        <w:rPr>
          <w:rFonts w:hint="eastAsia"/>
          <w:szCs w:val="20"/>
          <w:lang w:val="en-US" w:eastAsia="zh-CN"/>
        </w:rPr>
        <w:t xml:space="preserve"> the following naming is proposed.</w:t>
      </w:r>
    </w:p>
    <w:p>
      <w:pPr>
        <w:pStyle w:val="33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formal naming of the</w:t>
      </w:r>
      <w:r>
        <w:rPr>
          <w:rFonts w:hint="eastAsia"/>
          <w:sz w:val="20"/>
          <w:szCs w:val="20"/>
          <w:lang w:val="en-US" w:eastAsia="zh-CN"/>
        </w:rPr>
        <w:t xml:space="preserve"> five NR-U</w:t>
      </w:r>
      <w:r>
        <w:rPr>
          <w:sz w:val="20"/>
          <w:szCs w:val="20"/>
          <w:lang w:eastAsia="zh-CN"/>
        </w:rPr>
        <w:t xml:space="preserve"> scenarios is proposed as follows: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>
        <w:rPr>
          <w:b/>
          <w:bCs/>
          <w:szCs w:val="20"/>
        </w:rPr>
        <w:t>Carrier aggregation between NR PCell in licensed band and SCell in unlicensed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>
        <w:rPr>
          <w:b/>
          <w:bCs/>
          <w:szCs w:val="20"/>
        </w:rPr>
        <w:t xml:space="preserve">Dual connectivity between </w:t>
      </w:r>
      <w:r>
        <w:rPr>
          <w:rFonts w:hint="eastAsia" w:eastAsia="宋体"/>
          <w:b/>
          <w:bCs/>
          <w:szCs w:val="20"/>
          <w:lang w:val="en-US" w:eastAsia="zh-CN"/>
        </w:rPr>
        <w:t>MeNB</w:t>
      </w:r>
      <w:r>
        <w:rPr>
          <w:b/>
          <w:bCs/>
          <w:szCs w:val="20"/>
        </w:rPr>
        <w:t xml:space="preserve"> in licensed band and </w:t>
      </w:r>
      <w:r>
        <w:rPr>
          <w:rFonts w:hint="eastAsia" w:eastAsia="宋体"/>
          <w:b/>
          <w:bCs/>
          <w:szCs w:val="20"/>
          <w:lang w:val="en-US" w:eastAsia="zh-CN"/>
        </w:rPr>
        <w:t>SgNB in unlicensed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>
        <w:rPr>
          <w:b/>
          <w:bCs/>
          <w:szCs w:val="20"/>
        </w:rPr>
        <w:t>NR</w:t>
      </w:r>
      <w:r>
        <w:rPr>
          <w:rFonts w:hint="eastAsia" w:eastAsia="宋体"/>
          <w:b/>
          <w:bCs/>
          <w:szCs w:val="20"/>
          <w:lang w:val="en-US" w:eastAsia="zh-CN"/>
        </w:rPr>
        <w:t xml:space="preserve"> stand-alone</w:t>
      </w:r>
      <w:r>
        <w:rPr>
          <w:b/>
          <w:bCs/>
          <w:szCs w:val="20"/>
        </w:rPr>
        <w:t xml:space="preserve"> in unlicensed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>
        <w:rPr>
          <w:rFonts w:hint="eastAsia" w:eastAsia="宋体"/>
          <w:b/>
          <w:bCs/>
          <w:szCs w:val="20"/>
          <w:lang w:val="en-US" w:eastAsia="zh-CN"/>
        </w:rPr>
        <w:t>NR stand-alone</w:t>
      </w:r>
      <w:r>
        <w:rPr>
          <w:b/>
          <w:bCs/>
          <w:szCs w:val="20"/>
        </w:rPr>
        <w:t xml:space="preserve"> in unlicensed band</w:t>
      </w:r>
      <w:r>
        <w:rPr>
          <w:rFonts w:hint="eastAsia" w:eastAsia="宋体"/>
          <w:b/>
          <w:bCs/>
          <w:szCs w:val="20"/>
          <w:lang w:val="en-US" w:eastAsia="zh-CN"/>
        </w:rPr>
        <w:t xml:space="preserve"> with uplink in 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0"/>
        </w:rPr>
      </w:pPr>
      <w:r>
        <w:rPr>
          <w:b/>
          <w:bCs/>
          <w:szCs w:val="20"/>
        </w:rPr>
        <w:t xml:space="preserve">Dual connectivity between </w:t>
      </w:r>
      <w:r>
        <w:rPr>
          <w:rFonts w:hint="eastAsia" w:eastAsia="宋体"/>
          <w:b/>
          <w:bCs/>
          <w:szCs w:val="20"/>
          <w:lang w:val="en-US" w:eastAsia="zh-CN"/>
        </w:rPr>
        <w:t>MgNB</w:t>
      </w:r>
      <w:r>
        <w:rPr>
          <w:b/>
          <w:bCs/>
          <w:szCs w:val="20"/>
        </w:rPr>
        <w:t xml:space="preserve"> in licensed band and </w:t>
      </w:r>
      <w:r>
        <w:rPr>
          <w:rFonts w:hint="eastAsia" w:eastAsia="宋体"/>
          <w:b/>
          <w:bCs/>
          <w:szCs w:val="20"/>
          <w:lang w:val="en-US" w:eastAsia="zh-CN"/>
        </w:rPr>
        <w:t>SgNB</w:t>
      </w:r>
      <w:r>
        <w:rPr>
          <w:b/>
          <w:bCs/>
          <w:szCs w:val="20"/>
        </w:rPr>
        <w:t xml:space="preserve"> in unlicensed band</w:t>
      </w:r>
    </w:p>
    <w:p>
      <w:pPr>
        <w:pStyle w:val="33"/>
        <w:numPr>
          <w:ilvl w:val="0"/>
          <w:numId w:val="0"/>
        </w:numPr>
        <w:rPr>
          <w:b w:val="0"/>
          <w:iCs w:val="0"/>
          <w:sz w:val="20"/>
          <w:szCs w:val="20"/>
        </w:rPr>
      </w:pPr>
    </w:p>
    <w:p>
      <w:pPr>
        <w:pStyle w:val="25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27"/>
        <w:numPr>
          <w:ilvl w:val="0"/>
          <w:numId w:val="7"/>
        </w:numPr>
      </w:pPr>
      <w:r>
        <w:rPr>
          <w:rFonts w:hint="eastAsia" w:eastAsia="宋体"/>
          <w:sz w:val="20"/>
          <w:lang w:val="en-US" w:eastAsia="zh-CN"/>
        </w:rPr>
        <w:t xml:space="preserve">The description on Scenario B and E in </w:t>
      </w:r>
      <w:r>
        <w:rPr>
          <w:rFonts w:hint="eastAsia" w:eastAsia="宋体" w:cs="Times New Roman"/>
          <w:szCs w:val="20"/>
          <w:lang w:val="en-US" w:eastAsia="zh-CN"/>
        </w:rPr>
        <w:t>TR-38.889 [1]</w:t>
      </w:r>
      <w:r>
        <w:rPr>
          <w:rFonts w:hint="eastAsia" w:eastAsia="宋体"/>
          <w:sz w:val="20"/>
          <w:lang w:val="en-US" w:eastAsia="zh-CN"/>
        </w:rPr>
        <w:t xml:space="preserve"> is not aligned with the definition of dual connectivity in </w:t>
      </w:r>
      <w:r>
        <w:t>TS 37.340 [</w:t>
      </w:r>
      <w:r>
        <w:rPr>
          <w:rFonts w:hint="eastAsia" w:eastAsia="宋体"/>
          <w:lang w:val="en-US" w:eastAsia="zh-CN"/>
        </w:rPr>
        <w:t>5</w:t>
      </w:r>
      <w:r>
        <w:t>]</w:t>
      </w:r>
      <w:r>
        <w:rPr>
          <w:rFonts w:hint="eastAsia"/>
        </w:rPr>
        <w:t>.</w:t>
      </w:r>
    </w:p>
    <w:p>
      <w:pPr>
        <w:pStyle w:val="33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formal naming of the</w:t>
      </w:r>
      <w:r>
        <w:rPr>
          <w:rFonts w:hint="eastAsia"/>
          <w:sz w:val="20"/>
          <w:szCs w:val="20"/>
          <w:lang w:val="en-US" w:eastAsia="zh-CN"/>
        </w:rPr>
        <w:t xml:space="preserve"> five NR-U</w:t>
      </w:r>
      <w:r>
        <w:rPr>
          <w:sz w:val="20"/>
          <w:szCs w:val="20"/>
          <w:lang w:eastAsia="zh-CN"/>
        </w:rPr>
        <w:t xml:space="preserve"> scenarios is proposed as follows: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>
        <w:rPr>
          <w:b/>
          <w:bCs/>
          <w:szCs w:val="20"/>
        </w:rPr>
        <w:t>Carrier aggregation between NR PCell in licensed band and SCell in unlicensed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>
        <w:rPr>
          <w:b/>
          <w:bCs/>
          <w:szCs w:val="20"/>
        </w:rPr>
        <w:t xml:space="preserve">Dual connectivity between </w:t>
      </w:r>
      <w:r>
        <w:rPr>
          <w:rFonts w:hint="eastAsia" w:eastAsia="宋体"/>
          <w:b/>
          <w:bCs/>
          <w:szCs w:val="20"/>
          <w:lang w:val="en-US" w:eastAsia="zh-CN"/>
        </w:rPr>
        <w:t>MeNB</w:t>
      </w:r>
      <w:r>
        <w:rPr>
          <w:b/>
          <w:bCs/>
          <w:szCs w:val="20"/>
        </w:rPr>
        <w:t xml:space="preserve"> in licensed band and </w:t>
      </w:r>
      <w:r>
        <w:rPr>
          <w:rFonts w:hint="eastAsia" w:eastAsia="宋体"/>
          <w:b/>
          <w:bCs/>
          <w:szCs w:val="20"/>
          <w:lang w:val="en-US" w:eastAsia="zh-CN"/>
        </w:rPr>
        <w:t>SgNB in unlicensed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szCs w:val="20"/>
        </w:rPr>
      </w:pPr>
      <w:r>
        <w:rPr>
          <w:b/>
          <w:bCs/>
          <w:szCs w:val="20"/>
        </w:rPr>
        <w:t>NR</w:t>
      </w:r>
      <w:r>
        <w:rPr>
          <w:rFonts w:hint="eastAsia" w:eastAsia="宋体"/>
          <w:b/>
          <w:bCs/>
          <w:szCs w:val="20"/>
          <w:lang w:val="en-US" w:eastAsia="zh-CN"/>
        </w:rPr>
        <w:t xml:space="preserve"> stand-alone</w:t>
      </w:r>
      <w:r>
        <w:rPr>
          <w:b/>
          <w:bCs/>
          <w:szCs w:val="20"/>
        </w:rPr>
        <w:t xml:space="preserve"> in unlicensed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0"/>
          <w:szCs w:val="20"/>
        </w:rPr>
      </w:pPr>
      <w:r>
        <w:rPr>
          <w:rFonts w:hint="eastAsia" w:eastAsia="宋体"/>
          <w:b/>
          <w:bCs/>
          <w:szCs w:val="20"/>
          <w:lang w:val="en-US" w:eastAsia="zh-CN"/>
        </w:rPr>
        <w:t>NR stand-alone</w:t>
      </w:r>
      <w:r>
        <w:rPr>
          <w:b/>
          <w:bCs/>
          <w:szCs w:val="20"/>
        </w:rPr>
        <w:t xml:space="preserve"> in unlicensed band</w:t>
      </w:r>
      <w:r>
        <w:rPr>
          <w:rFonts w:hint="eastAsia" w:eastAsia="宋体"/>
          <w:b/>
          <w:bCs/>
          <w:szCs w:val="20"/>
          <w:lang w:val="en-US" w:eastAsia="zh-CN"/>
        </w:rPr>
        <w:t xml:space="preserve"> with uplink in licensed band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0"/>
          <w:szCs w:val="20"/>
        </w:rPr>
      </w:pPr>
      <w:r>
        <w:rPr>
          <w:b/>
          <w:bCs/>
          <w:szCs w:val="20"/>
        </w:rPr>
        <w:t xml:space="preserve">Dual connectivity between </w:t>
      </w:r>
      <w:r>
        <w:rPr>
          <w:rFonts w:hint="eastAsia" w:eastAsia="宋体"/>
          <w:b/>
          <w:bCs/>
          <w:szCs w:val="20"/>
          <w:lang w:val="en-US" w:eastAsia="zh-CN"/>
        </w:rPr>
        <w:t>MgNB</w:t>
      </w:r>
      <w:r>
        <w:rPr>
          <w:b/>
          <w:bCs/>
          <w:szCs w:val="20"/>
        </w:rPr>
        <w:t xml:space="preserve"> in licensed band and </w:t>
      </w:r>
      <w:r>
        <w:rPr>
          <w:rFonts w:hint="eastAsia" w:eastAsia="宋体"/>
          <w:b/>
          <w:bCs/>
          <w:szCs w:val="20"/>
          <w:lang w:val="en-US" w:eastAsia="zh-CN"/>
        </w:rPr>
        <w:t>SgNB</w:t>
      </w:r>
      <w:r>
        <w:rPr>
          <w:b/>
          <w:bCs/>
          <w:szCs w:val="20"/>
        </w:rPr>
        <w:t xml:space="preserve"> in unlicensed band</w:t>
      </w:r>
    </w:p>
    <w:p>
      <w:pPr>
        <w:pStyle w:val="25"/>
        <w:jc w:val="both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2843888"/>
      <w:r>
        <w:rPr>
          <w:lang w:val="en-GB"/>
        </w:rPr>
        <w:t>3GPP TR-38.889 v.1.0.0, “Study on NR-based Access to Unlicensed Spectrum”.</w:t>
      </w:r>
      <w:bookmarkEnd w:id="4"/>
      <w:r>
        <w:rPr>
          <w:lang w:val="en-GB"/>
        </w:rPr>
        <w:t xml:space="preserve"> 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R4-1910010</w:t>
      </w:r>
      <w:r>
        <w:rPr>
          <w:rFonts w:hint="eastAsia" w:eastAsia="宋体"/>
          <w:lang w:val="en-US" w:eastAsia="zh-CN"/>
        </w:rPr>
        <w:t>, Ad hoc minutes for NR-U RRM, Ericsson.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 w:eastAsia="Times New Roman" w:cs="Times New Roman"/>
          <w:szCs w:val="20"/>
          <w:lang w:val="en-GB"/>
        </w:rPr>
        <w:t>R4-1909222</w:t>
      </w:r>
      <w:r>
        <w:rPr>
          <w:rFonts w:hint="eastAsia" w:eastAsia="宋体" w:cs="Times New Roman"/>
          <w:szCs w:val="20"/>
          <w:lang w:val="en-US" w:eastAsia="zh-CN"/>
        </w:rPr>
        <w:t>,</w:t>
      </w:r>
      <w:r>
        <w:rPr>
          <w:rFonts w:hint="eastAsia" w:eastAsia="Times New Roman" w:cs="Times New Roman"/>
          <w:szCs w:val="20"/>
          <w:lang w:val="en-GB"/>
        </w:rPr>
        <w:t xml:space="preserve"> Discussion on NR-U terminology in TS 38.133 and 36.133</w:t>
      </w:r>
      <w:r>
        <w:rPr>
          <w:rFonts w:hint="eastAsia" w:eastAsia="宋体" w:cs="Times New Roman"/>
          <w:szCs w:val="20"/>
          <w:lang w:val="en-US" w:eastAsia="zh-CN"/>
        </w:rPr>
        <w:t xml:space="preserve">, </w:t>
      </w:r>
      <w:r>
        <w:rPr>
          <w:lang w:val="en-GB"/>
        </w:rPr>
        <w:t>Nokia, Nokia Shanghai Bell.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R4-1909569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GB"/>
        </w:rPr>
        <w:t xml:space="preserve"> RRM specification impact of NR-U</w:t>
      </w:r>
      <w:r>
        <w:rPr>
          <w:rFonts w:hint="eastAsia" w:eastAsia="宋体"/>
          <w:lang w:val="en-US" w:eastAsia="zh-CN"/>
        </w:rPr>
        <w:t>, Ericsson.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7010585"/>
      <w:r>
        <w:rPr>
          <w:lang w:eastAsia="zh-CN"/>
        </w:rPr>
        <w:t xml:space="preserve">3GPP TS </w:t>
      </w:r>
      <w:r>
        <w:rPr>
          <w:rFonts w:hint="eastAsia"/>
          <w:lang w:val="en-US" w:eastAsia="zh-CN"/>
        </w:rPr>
        <w:t>37.340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NR; Multi-connectivity; Overall description; Stage-2</w:t>
      </w:r>
      <w:r>
        <w:rPr>
          <w:rFonts w:cs="v4.2.0"/>
        </w:rPr>
        <w:t>.</w:t>
      </w:r>
      <w:bookmarkEnd w:id="5"/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C60CAB"/>
    <w:multiLevelType w:val="multilevel"/>
    <w:tmpl w:val="2EC60CAB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27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29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4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4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7B5E4B"/>
    <w:rsid w:val="018D054D"/>
    <w:rsid w:val="01FF08B3"/>
    <w:rsid w:val="02C25D33"/>
    <w:rsid w:val="03C6506D"/>
    <w:rsid w:val="03F37217"/>
    <w:rsid w:val="059B61E4"/>
    <w:rsid w:val="05A86143"/>
    <w:rsid w:val="06105DAC"/>
    <w:rsid w:val="069766CC"/>
    <w:rsid w:val="08C654D4"/>
    <w:rsid w:val="08CC5D10"/>
    <w:rsid w:val="099F556C"/>
    <w:rsid w:val="0A5763D4"/>
    <w:rsid w:val="0A7BF868"/>
    <w:rsid w:val="0B7322DC"/>
    <w:rsid w:val="0FD0731A"/>
    <w:rsid w:val="0FF1533A"/>
    <w:rsid w:val="12EF585C"/>
    <w:rsid w:val="13262572"/>
    <w:rsid w:val="13D36053"/>
    <w:rsid w:val="1480544B"/>
    <w:rsid w:val="14B36B91"/>
    <w:rsid w:val="17E826AB"/>
    <w:rsid w:val="18D3414F"/>
    <w:rsid w:val="1B7F155B"/>
    <w:rsid w:val="1E8806BC"/>
    <w:rsid w:val="1EA137E3"/>
    <w:rsid w:val="1F0936F5"/>
    <w:rsid w:val="200D067C"/>
    <w:rsid w:val="211451D0"/>
    <w:rsid w:val="2151075A"/>
    <w:rsid w:val="22571B82"/>
    <w:rsid w:val="22C0245E"/>
    <w:rsid w:val="23B20773"/>
    <w:rsid w:val="248F188B"/>
    <w:rsid w:val="25C20278"/>
    <w:rsid w:val="26681CAB"/>
    <w:rsid w:val="267E5FCE"/>
    <w:rsid w:val="27572E0B"/>
    <w:rsid w:val="284E33F7"/>
    <w:rsid w:val="293606FA"/>
    <w:rsid w:val="29517179"/>
    <w:rsid w:val="2D233DAE"/>
    <w:rsid w:val="2E145F76"/>
    <w:rsid w:val="2F32226B"/>
    <w:rsid w:val="2F376D10"/>
    <w:rsid w:val="308B65F2"/>
    <w:rsid w:val="3117229F"/>
    <w:rsid w:val="31395268"/>
    <w:rsid w:val="324554E5"/>
    <w:rsid w:val="325D2B5A"/>
    <w:rsid w:val="327661FC"/>
    <w:rsid w:val="32B33B5A"/>
    <w:rsid w:val="32EE27B2"/>
    <w:rsid w:val="335F47E9"/>
    <w:rsid w:val="3509315E"/>
    <w:rsid w:val="380927B5"/>
    <w:rsid w:val="3876150B"/>
    <w:rsid w:val="392739EA"/>
    <w:rsid w:val="399A43EA"/>
    <w:rsid w:val="3A166029"/>
    <w:rsid w:val="3B30671A"/>
    <w:rsid w:val="3B5662AC"/>
    <w:rsid w:val="3D0C1655"/>
    <w:rsid w:val="3ECE16FA"/>
    <w:rsid w:val="407921CE"/>
    <w:rsid w:val="42841694"/>
    <w:rsid w:val="429266C7"/>
    <w:rsid w:val="43EE582E"/>
    <w:rsid w:val="455B13AC"/>
    <w:rsid w:val="460567D8"/>
    <w:rsid w:val="462F25DF"/>
    <w:rsid w:val="47D77F02"/>
    <w:rsid w:val="4996414B"/>
    <w:rsid w:val="4C723787"/>
    <w:rsid w:val="4CF05EAC"/>
    <w:rsid w:val="4D102CB4"/>
    <w:rsid w:val="4EB053BD"/>
    <w:rsid w:val="4FDC68F3"/>
    <w:rsid w:val="50005DA1"/>
    <w:rsid w:val="509778C7"/>
    <w:rsid w:val="51C53170"/>
    <w:rsid w:val="5280421D"/>
    <w:rsid w:val="52BF27F0"/>
    <w:rsid w:val="535E62F0"/>
    <w:rsid w:val="5361709F"/>
    <w:rsid w:val="593554F0"/>
    <w:rsid w:val="5AE53367"/>
    <w:rsid w:val="5C3B1FEA"/>
    <w:rsid w:val="5EE41E2E"/>
    <w:rsid w:val="5F0F00DA"/>
    <w:rsid w:val="60017F85"/>
    <w:rsid w:val="62B7743E"/>
    <w:rsid w:val="66AB371C"/>
    <w:rsid w:val="66AE1192"/>
    <w:rsid w:val="67E42DFA"/>
    <w:rsid w:val="6A7016FE"/>
    <w:rsid w:val="6A8433F1"/>
    <w:rsid w:val="6D3205F0"/>
    <w:rsid w:val="6E1E4D05"/>
    <w:rsid w:val="6E504618"/>
    <w:rsid w:val="6F5579D7"/>
    <w:rsid w:val="6FFF59CB"/>
    <w:rsid w:val="704E4A67"/>
    <w:rsid w:val="71143E21"/>
    <w:rsid w:val="732F59FD"/>
    <w:rsid w:val="7355417D"/>
    <w:rsid w:val="74D53B99"/>
    <w:rsid w:val="754C1AAF"/>
    <w:rsid w:val="76E279D7"/>
    <w:rsid w:val="776E285A"/>
    <w:rsid w:val="77B02D8D"/>
    <w:rsid w:val="77C0093D"/>
    <w:rsid w:val="793758F2"/>
    <w:rsid w:val="7A787ECB"/>
    <w:rsid w:val="7A8B51CB"/>
    <w:rsid w:val="7AC634CB"/>
    <w:rsid w:val="7C41564D"/>
    <w:rsid w:val="7CE3033A"/>
    <w:rsid w:val="7D55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1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56"/>
    <w:semiHidden/>
    <w:unhideWhenUsed/>
    <w:qFormat/>
    <w:uiPriority w:val="99"/>
    <w:rPr>
      <w:b/>
      <w:bCs/>
    </w:rPr>
  </w:style>
  <w:style w:type="paragraph" w:styleId="6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7">
    <w:name w:val="caption"/>
    <w:basedOn w:val="1"/>
    <w:next w:val="1"/>
    <w:link w:val="35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Body Text"/>
    <w:basedOn w:val="1"/>
    <w:link w:val="43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0">
    <w:name w:val="Balloon Text"/>
    <w:basedOn w:val="1"/>
    <w:link w:val="5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header"/>
    <w:link w:val="50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2">
    <w:name w:val="toc 1"/>
    <w:basedOn w:val="1"/>
    <w:next w:val="1"/>
    <w:unhideWhenUsed/>
    <w:qFormat/>
    <w:uiPriority w:val="39"/>
    <w:pPr>
      <w:spacing w:after="100"/>
    </w:pPr>
  </w:style>
  <w:style w:type="paragraph" w:styleId="13">
    <w:name w:val="table of figures"/>
    <w:basedOn w:val="1"/>
    <w:next w:val="1"/>
    <w:unhideWhenUsed/>
    <w:qFormat/>
    <w:uiPriority w:val="99"/>
    <w:pPr>
      <w:spacing w:after="0"/>
    </w:pPr>
  </w:style>
  <w:style w:type="paragraph" w:styleId="14">
    <w:name w:val="toc 2"/>
    <w:basedOn w:val="1"/>
    <w:next w:val="1"/>
    <w:unhideWhenUsed/>
    <w:qFormat/>
    <w:uiPriority w:val="39"/>
    <w:pPr>
      <w:spacing w:after="100"/>
      <w:ind w:left="200"/>
    </w:pPr>
  </w:style>
  <w:style w:type="character" w:styleId="16">
    <w:name w:val="FollowedHyperlink"/>
    <w:basedOn w:val="1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16"/>
      <w:szCs w:val="16"/>
    </w:rPr>
  </w:style>
  <w:style w:type="table" w:styleId="20">
    <w:name w:val="Table Grid"/>
    <w:basedOn w:val="19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1">
    <w:name w:val="Heading 2 Char"/>
    <w:basedOn w:val="15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2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3">
    <w:name w:val="List Paragraph"/>
    <w:basedOn w:val="1"/>
    <w:link w:val="30"/>
    <w:qFormat/>
    <w:uiPriority w:val="34"/>
    <w:pPr>
      <w:ind w:left="720"/>
      <w:contextualSpacing/>
    </w:pPr>
  </w:style>
  <w:style w:type="paragraph" w:customStyle="1" w:styleId="24">
    <w:name w:val="RAN4 H2"/>
    <w:basedOn w:val="3"/>
    <w:next w:val="1"/>
    <w:link w:val="26"/>
    <w:qFormat/>
    <w:uiPriority w:val="0"/>
    <w:rPr>
      <w:lang w:val="en-US"/>
    </w:rPr>
  </w:style>
  <w:style w:type="paragraph" w:customStyle="1" w:styleId="25">
    <w:name w:val="RAN4 H1"/>
    <w:basedOn w:val="1"/>
    <w:link w:val="2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6">
    <w:name w:val="RAN4 H2 Char"/>
    <w:basedOn w:val="21"/>
    <w:link w:val="24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7">
    <w:name w:val="RAN4 Observation"/>
    <w:basedOn w:val="23"/>
    <w:next w:val="1"/>
    <w:link w:val="31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28">
    <w:name w:val="RAN4 H1 Char"/>
    <w:basedOn w:val="15"/>
    <w:link w:val="25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29">
    <w:name w:val="RAN4 Proposal"/>
    <w:basedOn w:val="23"/>
    <w:next w:val="1"/>
    <w:link w:val="32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0">
    <w:name w:val="List Paragraph Char"/>
    <w:basedOn w:val="15"/>
    <w:link w:val="23"/>
    <w:qFormat/>
    <w:uiPriority w:val="34"/>
  </w:style>
  <w:style w:type="character" w:customStyle="1" w:styleId="31">
    <w:name w:val="RAN4 Observation Char"/>
    <w:basedOn w:val="30"/>
    <w:link w:val="27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2">
    <w:name w:val="RAN4 Proposal Char"/>
    <w:basedOn w:val="30"/>
    <w:link w:val="29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3">
    <w:name w:val="RAN4 proposal"/>
    <w:basedOn w:val="7"/>
    <w:next w:val="1"/>
    <w:link w:val="36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4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5">
    <w:name w:val="Caption Char"/>
    <w:basedOn w:val="15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6">
    <w:name w:val="RAN4 proposal Char"/>
    <w:basedOn w:val="35"/>
    <w:link w:val="33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7">
    <w:name w:val="RAN4 observation"/>
    <w:basedOn w:val="27"/>
    <w:next w:val="1"/>
    <w:link w:val="38"/>
    <w:qFormat/>
    <w:uiPriority w:val="0"/>
    <w:pPr>
      <w:ind w:left="0" w:firstLine="0"/>
    </w:pPr>
    <w:rPr>
      <w:sz w:val="22"/>
    </w:rPr>
  </w:style>
  <w:style w:type="character" w:customStyle="1" w:styleId="38">
    <w:name w:val="RAN4 observation Char"/>
    <w:basedOn w:val="31"/>
    <w:link w:val="37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9">
    <w:name w:val="Unresolved Mention"/>
    <w:basedOn w:val="15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0">
    <w:name w:val="Heading 4 Char"/>
    <w:basedOn w:val="15"/>
    <w:link w:val="4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1">
    <w:name w:val="Doc-text2 Char"/>
    <w:link w:val="42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2">
    <w:name w:val="Doc-text2"/>
    <w:basedOn w:val="1"/>
    <w:link w:val="4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3">
    <w:name w:val="Body Text Char"/>
    <w:basedOn w:val="15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4">
    <w:name w:val="Agreement"/>
    <w:basedOn w:val="1"/>
    <w:next w:val="42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5">
    <w:name w:val="TAL"/>
    <w:basedOn w:val="1"/>
    <w:link w:val="46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6">
    <w:name w:val="TAL Char"/>
    <w:link w:val="45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7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48">
    <w:name w:val="EmailDiscussion"/>
    <w:basedOn w:val="1"/>
    <w:next w:val="1"/>
    <w:link w:val="49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49">
    <w:name w:val="EmailDiscussion Char"/>
    <w:link w:val="48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0">
    <w:name w:val="Header Char"/>
    <w:basedOn w:val="15"/>
    <w:link w:val="11"/>
    <w:semiHidden/>
    <w:qFormat/>
    <w:locked/>
    <w:uiPriority w:val="0"/>
    <w:rPr>
      <w:rFonts w:ascii="Tms Rmn" w:hAnsi="Tms Rmn"/>
      <w:b/>
      <w:sz w:val="18"/>
    </w:rPr>
  </w:style>
  <w:style w:type="character" w:customStyle="1" w:styleId="51">
    <w:name w:val="Header Char1"/>
    <w:basedOn w:val="15"/>
    <w:semiHidden/>
    <w:qFormat/>
    <w:uiPriority w:val="99"/>
    <w:rPr>
      <w:rFonts w:ascii="Times New Roman" w:hAnsi="Times New Roman"/>
      <w:sz w:val="20"/>
    </w:rPr>
  </w:style>
  <w:style w:type="character" w:customStyle="1" w:styleId="52">
    <w:name w:val="Balloon Text Char"/>
    <w:basedOn w:val="15"/>
    <w:link w:val="10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3">
    <w:name w:val="CR Cover Page Zchn"/>
    <w:link w:val="54"/>
    <w:qFormat/>
    <w:locked/>
    <w:uiPriority w:val="0"/>
    <w:rPr>
      <w:rFonts w:ascii="Arial" w:hAnsi="Arial" w:cs="Arial"/>
      <w:lang w:val="en-GB"/>
    </w:rPr>
  </w:style>
  <w:style w:type="paragraph" w:customStyle="1" w:styleId="54">
    <w:name w:val="CR Cover Page"/>
    <w:link w:val="53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5">
    <w:name w:val="Comment Text Char"/>
    <w:basedOn w:val="15"/>
    <w:link w:val="6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6">
    <w:name w:val="Comment Subject Char"/>
    <w:basedOn w:val="55"/>
    <w:link w:val="5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7">
    <w:name w:val="3GPP Normal Text"/>
    <w:basedOn w:val="8"/>
    <w:link w:val="58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58">
    <w:name w:val="3GPP Normal Text Char"/>
    <w:link w:val="57"/>
    <w:qFormat/>
    <w:uiPriority w:val="0"/>
    <w:rPr>
      <w:rFonts w:ascii="Times New Roman" w:hAnsi="Times New Roman" w:eastAsia="MS Mincho" w:cs="Arial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5355</Characters>
  <Lines>44</Lines>
  <Paragraphs>12</Paragraphs>
  <TotalTime>0</TotalTime>
  <ScaleCrop>false</ScaleCrop>
  <LinksUpToDate>false</LinksUpToDate>
  <CharactersWithSpaces>6220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Richie Leo (ZTE)</cp:lastModifiedBy>
  <cp:lastPrinted>2019-04-29T06:52:00Z</cp:lastPrinted>
  <dcterms:modified xsi:type="dcterms:W3CDTF">2019-10-03T12:41:29Z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2052-10.8.2.7027</vt:lpwstr>
  </property>
</Properties>
</file>